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4914F6" w14:textId="377891E5" w:rsidR="0072392F" w:rsidRDefault="0072392F">
      <w:pPr>
        <w:widowControl/>
        <w:jc w:val="left"/>
        <w:rPr>
          <w:rFonts w:ascii="Arial" w:eastAsia="ＭＳ 明朝" w:hAnsi="Arial" w:cs="Arial"/>
          <w:b/>
          <w:sz w:val="24"/>
          <w:szCs w:val="24"/>
        </w:rPr>
      </w:pPr>
      <w:r>
        <w:rPr>
          <w:rFonts w:ascii="Arial" w:hAnsi="Arial" w:cs="Arial"/>
          <w:b/>
          <w:bCs/>
          <w:iCs/>
          <w:color w:val="000000" w:themeColor="text1"/>
          <w:sz w:val="24"/>
          <w:szCs w:val="24"/>
        </w:rPr>
        <w:t xml:space="preserve">Table </w:t>
      </w:r>
      <w:r w:rsidR="00422F0F">
        <w:rPr>
          <w:rFonts w:ascii="Arial" w:hAnsi="Arial" w:cs="Arial"/>
          <w:b/>
          <w:bCs/>
          <w:iCs/>
          <w:color w:val="000000" w:themeColor="text1"/>
          <w:sz w:val="24"/>
          <w:szCs w:val="24"/>
        </w:rPr>
        <w:t>S</w:t>
      </w:r>
      <w:bookmarkStart w:id="0" w:name="_GoBack"/>
      <w:bookmarkEnd w:id="0"/>
      <w:r>
        <w:rPr>
          <w:rFonts w:ascii="Arial" w:hAnsi="Arial" w:cs="Arial"/>
          <w:b/>
          <w:bCs/>
          <w:iCs/>
          <w:color w:val="000000" w:themeColor="text1"/>
          <w:sz w:val="24"/>
          <w:szCs w:val="24"/>
        </w:rPr>
        <w:t xml:space="preserve">1. </w:t>
      </w:r>
      <w:r w:rsidRPr="001C3482">
        <w:rPr>
          <w:rFonts w:ascii="Arial" w:hAnsi="Arial" w:cs="Arial" w:hint="eastAsia"/>
          <w:b/>
          <w:bCs/>
          <w:iCs/>
          <w:color w:val="000000" w:themeColor="text1"/>
          <w:sz w:val="24"/>
          <w:szCs w:val="24"/>
        </w:rPr>
        <w:t>Data collection and d</w:t>
      </w:r>
      <w:r w:rsidRPr="001C3482">
        <w:rPr>
          <w:rFonts w:ascii="Arial" w:hAnsi="Arial" w:cs="Arial"/>
          <w:b/>
          <w:bCs/>
          <w:iCs/>
          <w:color w:val="000000" w:themeColor="text1"/>
          <w:sz w:val="24"/>
          <w:szCs w:val="24"/>
        </w:rPr>
        <w:t>efinitions of variables and outcomes</w:t>
      </w:r>
    </w:p>
    <w:p w14:paraId="18BF1D33" w14:textId="77777777" w:rsidR="0072392F" w:rsidRDefault="0072392F">
      <w:pPr>
        <w:widowControl/>
        <w:jc w:val="left"/>
        <w:rPr>
          <w:rFonts w:ascii="Arial" w:eastAsia="ＭＳ 明朝" w:hAnsi="Arial" w:cs="Arial"/>
          <w:b/>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544"/>
        <w:gridCol w:w="5528"/>
      </w:tblGrid>
      <w:tr w:rsidR="0072392F" w:rsidRPr="006108B0" w14:paraId="10193575" w14:textId="77777777" w:rsidTr="006108B0">
        <w:trPr>
          <w:trHeight w:val="280"/>
        </w:trPr>
        <w:tc>
          <w:tcPr>
            <w:tcW w:w="3544" w:type="dxa"/>
            <w:shd w:val="clear" w:color="auto" w:fill="auto"/>
            <w:noWrap/>
            <w:vAlign w:val="center"/>
            <w:hideMark/>
          </w:tcPr>
          <w:p w14:paraId="37B97591"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Comorbidities</w:t>
            </w:r>
          </w:p>
        </w:tc>
        <w:tc>
          <w:tcPr>
            <w:tcW w:w="5528" w:type="dxa"/>
            <w:shd w:val="clear" w:color="auto" w:fill="auto"/>
            <w:noWrap/>
            <w:vAlign w:val="center"/>
            <w:hideMark/>
          </w:tcPr>
          <w:p w14:paraId="60E01883"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hint="eastAsia"/>
                <w:color w:val="000000"/>
                <w:kern w:val="0"/>
                <w:sz w:val="24"/>
                <w:szCs w:val="24"/>
              </w:rPr>
              <w:t>H</w:t>
            </w:r>
            <w:r w:rsidRPr="0072392F">
              <w:rPr>
                <w:rFonts w:ascii="Arial" w:eastAsia="游ゴシック" w:hAnsi="Arial" w:cs="Arial"/>
                <w:color w:val="000000"/>
                <w:kern w:val="0"/>
                <w:sz w:val="24"/>
                <w:szCs w:val="24"/>
              </w:rPr>
              <w:t>ypertension, diabetes, congestive heart failure, ischemic heart disease, prior stroke or transient ischemic attack, and chronic hemodialysis.</w:t>
            </w:r>
          </w:p>
        </w:tc>
      </w:tr>
      <w:tr w:rsidR="0072392F" w:rsidRPr="0072392F" w14:paraId="3B8FA239" w14:textId="77777777" w:rsidTr="006108B0">
        <w:trPr>
          <w:trHeight w:val="310"/>
        </w:trPr>
        <w:tc>
          <w:tcPr>
            <w:tcW w:w="3544" w:type="dxa"/>
            <w:shd w:val="clear" w:color="auto" w:fill="auto"/>
            <w:noWrap/>
            <w:vAlign w:val="center"/>
            <w:hideMark/>
          </w:tcPr>
          <w:p w14:paraId="32247124"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Diabetes</w:t>
            </w:r>
          </w:p>
        </w:tc>
        <w:tc>
          <w:tcPr>
            <w:tcW w:w="5528" w:type="dxa"/>
            <w:shd w:val="clear" w:color="auto" w:fill="auto"/>
            <w:noWrap/>
            <w:vAlign w:val="center"/>
            <w:hideMark/>
          </w:tcPr>
          <w:p w14:paraId="3B154F4A"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Based on previous medications or hemoglobin A1c higher than 6.5%.</w:t>
            </w:r>
          </w:p>
        </w:tc>
      </w:tr>
      <w:tr w:rsidR="0072392F" w:rsidRPr="0072392F" w14:paraId="1368B229" w14:textId="77777777" w:rsidTr="006108B0">
        <w:trPr>
          <w:trHeight w:val="280"/>
        </w:trPr>
        <w:tc>
          <w:tcPr>
            <w:tcW w:w="3544" w:type="dxa"/>
            <w:shd w:val="clear" w:color="auto" w:fill="auto"/>
            <w:noWrap/>
            <w:vAlign w:val="center"/>
            <w:hideMark/>
          </w:tcPr>
          <w:p w14:paraId="104F4478"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Hypertension</w:t>
            </w:r>
          </w:p>
        </w:tc>
        <w:tc>
          <w:tcPr>
            <w:tcW w:w="5528" w:type="dxa"/>
            <w:shd w:val="clear" w:color="auto" w:fill="auto"/>
            <w:noWrap/>
            <w:vAlign w:val="center"/>
            <w:hideMark/>
          </w:tcPr>
          <w:p w14:paraId="4C026850"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 xml:space="preserve">Determined based on previous medications. </w:t>
            </w:r>
          </w:p>
        </w:tc>
      </w:tr>
      <w:tr w:rsidR="0072392F" w:rsidRPr="0072392F" w14:paraId="0F5E523A" w14:textId="77777777" w:rsidTr="006108B0">
        <w:trPr>
          <w:trHeight w:val="280"/>
        </w:trPr>
        <w:tc>
          <w:tcPr>
            <w:tcW w:w="3544" w:type="dxa"/>
            <w:shd w:val="clear" w:color="auto" w:fill="auto"/>
            <w:noWrap/>
            <w:vAlign w:val="center"/>
            <w:hideMark/>
          </w:tcPr>
          <w:p w14:paraId="3287945B"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Congestive heart failure</w:t>
            </w:r>
          </w:p>
        </w:tc>
        <w:tc>
          <w:tcPr>
            <w:tcW w:w="5528" w:type="dxa"/>
            <w:shd w:val="clear" w:color="auto" w:fill="auto"/>
            <w:noWrap/>
            <w:vAlign w:val="center"/>
            <w:hideMark/>
          </w:tcPr>
          <w:p w14:paraId="16532926"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Having symptoms of heart failure, laboratory data indicating heart failure or medications for heart failure.</w:t>
            </w:r>
          </w:p>
        </w:tc>
      </w:tr>
      <w:tr w:rsidR="0072392F" w:rsidRPr="0072392F" w14:paraId="43FE2480" w14:textId="77777777" w:rsidTr="006108B0">
        <w:trPr>
          <w:trHeight w:val="280"/>
        </w:trPr>
        <w:tc>
          <w:tcPr>
            <w:tcW w:w="3544" w:type="dxa"/>
            <w:shd w:val="clear" w:color="auto" w:fill="auto"/>
            <w:noWrap/>
            <w:vAlign w:val="center"/>
            <w:hideMark/>
          </w:tcPr>
          <w:p w14:paraId="3085301F" w14:textId="55DF0296"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CHADS2 score</w:t>
            </w:r>
            <w:r w:rsidR="00E34231">
              <w:rPr>
                <w:rFonts w:ascii="Arial" w:eastAsia="游ゴシック" w:hAnsi="Arial" w:cs="Arial"/>
                <w:color w:val="000000"/>
                <w:kern w:val="0"/>
                <w:sz w:val="24"/>
                <w:szCs w:val="24"/>
              </w:rPr>
              <w:t xml:space="preserve"> </w:t>
            </w:r>
            <w:r w:rsidRPr="0072392F">
              <w:rPr>
                <w:rFonts w:ascii="Arial" w:eastAsia="ＭＳ Ｐゴシック" w:hAnsi="Arial" w:cs="Arial"/>
                <w:color w:val="000000" w:themeColor="text1"/>
                <w:kern w:val="0"/>
                <w:sz w:val="24"/>
                <w:szCs w:val="24"/>
              </w:rPr>
              <w:fldChar w:fldCharType="begin" w:fldLock="1"/>
            </w:r>
            <w:r w:rsidR="00BD03ED">
              <w:rPr>
                <w:rFonts w:ascii="Arial" w:eastAsia="ＭＳ Ｐゴシック" w:hAnsi="Arial" w:cs="Arial"/>
                <w:color w:val="000000" w:themeColor="text1"/>
                <w:kern w:val="0"/>
                <w:sz w:val="24"/>
                <w:szCs w:val="24"/>
              </w:rPr>
              <w:instrText>ADDIN CSL_CITATION {"citationItems":[{"id":"ITEM-1","itemData":{"ISSN":"0098-7484","PMID":"11401607","abstract":"CONTEXT Patients who have atrial fibrillation (AF) have an increased risk of stroke, but their absolute rate of stroke depends on age and comorbid conditions. OBJECTIVE To assess the predictive value of classification schemes that estimate stroke risk in patients with AF. DESIGN, SETTING, AND PATIENTS Two existing classification schemes were combined into a new stroke-risk scheme, the CHADS( 2) index, and all 3 classification schemes were validated. The CHADS( 2) was formed by assigning 1 point each for the presence of congestive heart failure, hypertension, age 75 years or older, and diabetes mellitus and by assigning 2 points for history of stroke or transient ischemic attack. Data from peer review organizations representing 7 states were used to assemble a National Registry of AF (NRAF) consisting of 1733 Medicare beneficiaries aged 65 to 95 years who had nonrheumatic AF and were not prescribed warfarin at hospital discharge. MAIN OUTCOME MEASURE Hospitalization for ischemic stroke, determined by Medicare claims data. RESULTS During 2121 patient-years of follow-up, 94 patients were readmitted to the hospital for ischemic stroke (stroke rate, 4.4 per 100 patient-years). As indicated by a c statistic greater than 0.5, the 2 existing classification schemes predicted stroke better than chance: c of 0.68 (95% confidence interval [CI], 0.65-0.71) for the scheme developed by the Atrial Fibrillation Investigators (AFI) and c of 0.74 (95% CI, 0.71-0.76) for the Stroke Prevention in Atrial Fibrillation (SPAF) III scheme. However, with a c statistic of 0.82 (95% CI, 0.80-0.84), the CHADS( 2) index was the most accurate predictor of stroke. The stroke rate per 100 patient-years without antithrombotic therapy increased by a factor of 1.5 (95% CI, 1.3-1.7) for each 1-point increase in the CHADS( 2) score: 1.9 (95% CI, 1.2-3.0) for a score of 0; 2.8 (95% CI, 2.0-3.8) for 1; 4.0 (95% CI, 3.1-5.1) for 2; 5.9 (95% CI, 4.6-7.3) for 3; 8.5 (95% CI, 6.3-11.1) for 4; 12.5 (95% CI, 8.2-17.5) for 5; and 18.2 (95% CI, 10.5-27.4) for 6. CONCLUSION The 2 existing classification schemes and especially a new stroke risk index, CHADS( 2), can quantify risk of stroke for patients who have AF and may aid in selection of antithrombotic therapy.","author":[{"dropping-particle":"","family":"Gage","given":"B F","non-dropping-particle":"","parse-names":false,"suffix":""},{"dropping-particle":"","family":"Waterman","given":"A D","non-dropping-particle":"","parse-names":false,"suffix":""},{"dropping-particle":"","family":"Shannon","given":"W","non-dropping-particle":"","parse-names":false,"suffix":""},{"dropping-particle":"","family":"Boechler","given":"M","non-dropping-particle":"","parse-names":false,"suffix":""},{"dropping-particle":"","family":"Rich","given":"M W","non-dropping-particle":"","parse-names":false,"suffix":""},{"dropping-particle":"","family":"Radford","given":"M J","non-dropping-particle":"","parse-names":false,"suffix":""}],"container-title":"JAMA","id":"ITEM-1","issue":"22","issued":{"date-parts":[["2001","6","13"]]},"page":"2864-70","title":"Validation of clinical classification schemes for predicting stroke: results from the National Registry of Atrial Fibrillation.","type":"article-journal","volume":"285"},"uris":["http://www.mendeley.com/documents/?uuid=cd93dd85-3677-3af5-8e5e-4bef41d0e773"]}],"mendeley":{"formattedCitation":"(1)","plainTextFormattedCitation":"(1)","previouslyFormattedCitation":"(1)"},"properties":{"noteIndex":0},"schema":"https://github.com/citation-style-language/schema/raw/master/csl-citation.json"}</w:instrText>
            </w:r>
            <w:r w:rsidRPr="0072392F">
              <w:rPr>
                <w:rFonts w:ascii="Arial" w:eastAsia="ＭＳ Ｐゴシック" w:hAnsi="Arial" w:cs="Arial"/>
                <w:color w:val="000000" w:themeColor="text1"/>
                <w:kern w:val="0"/>
                <w:sz w:val="24"/>
                <w:szCs w:val="24"/>
              </w:rPr>
              <w:fldChar w:fldCharType="separate"/>
            </w:r>
            <w:r w:rsidR="00E34231">
              <w:rPr>
                <w:rFonts w:ascii="Arial" w:eastAsia="ＭＳ Ｐゴシック" w:hAnsi="Arial" w:cs="Arial"/>
                <w:color w:val="000000" w:themeColor="text1"/>
                <w:kern w:val="0"/>
                <w:sz w:val="24"/>
                <w:szCs w:val="24"/>
              </w:rPr>
              <w:t>[</w:t>
            </w:r>
            <w:r w:rsidR="00BD03ED" w:rsidRPr="00BD03ED">
              <w:rPr>
                <w:rFonts w:ascii="Arial" w:eastAsia="ＭＳ Ｐゴシック" w:hAnsi="Arial" w:cs="Arial"/>
                <w:noProof/>
                <w:color w:val="000000" w:themeColor="text1"/>
                <w:kern w:val="0"/>
                <w:sz w:val="24"/>
                <w:szCs w:val="24"/>
              </w:rPr>
              <w:t>1</w:t>
            </w:r>
            <w:r w:rsidR="00E34231">
              <w:rPr>
                <w:rFonts w:ascii="Arial" w:eastAsia="ＭＳ Ｐゴシック" w:hAnsi="Arial" w:cs="Arial"/>
                <w:noProof/>
                <w:color w:val="000000" w:themeColor="text1"/>
                <w:kern w:val="0"/>
                <w:sz w:val="24"/>
                <w:szCs w:val="24"/>
              </w:rPr>
              <w:t>]</w:t>
            </w:r>
            <w:r w:rsidRPr="0072392F">
              <w:rPr>
                <w:rFonts w:ascii="Arial" w:eastAsia="ＭＳ Ｐゴシック" w:hAnsi="Arial" w:cs="Arial"/>
                <w:color w:val="000000" w:themeColor="text1"/>
                <w:kern w:val="0"/>
                <w:sz w:val="24"/>
                <w:szCs w:val="24"/>
              </w:rPr>
              <w:fldChar w:fldCharType="end"/>
            </w:r>
            <w:r w:rsidR="00E34231" w:rsidRPr="0072392F">
              <w:rPr>
                <w:rFonts w:ascii="Arial" w:eastAsia="游ゴシック" w:hAnsi="Arial" w:cs="Arial"/>
                <w:color w:val="000000"/>
                <w:kern w:val="0"/>
                <w:sz w:val="24"/>
                <w:szCs w:val="24"/>
              </w:rPr>
              <w:t xml:space="preserve"> </w:t>
            </w:r>
          </w:p>
        </w:tc>
        <w:tc>
          <w:tcPr>
            <w:tcW w:w="5528" w:type="dxa"/>
            <w:shd w:val="clear" w:color="auto" w:fill="auto"/>
            <w:noWrap/>
            <w:vAlign w:val="center"/>
            <w:hideMark/>
          </w:tcPr>
          <w:p w14:paraId="0093DFD2"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 xml:space="preserve">One point for each of the following conditions: recent congestive heart failure, hypertension, age 75 years or older, or diabetes mellitus; two points for prior transient ischemic attack or stroke. </w:t>
            </w:r>
          </w:p>
        </w:tc>
      </w:tr>
      <w:tr w:rsidR="0072392F" w:rsidRPr="0072392F" w14:paraId="381A25DD" w14:textId="77777777" w:rsidTr="006108B0">
        <w:trPr>
          <w:trHeight w:val="280"/>
        </w:trPr>
        <w:tc>
          <w:tcPr>
            <w:tcW w:w="3544" w:type="dxa"/>
            <w:shd w:val="clear" w:color="auto" w:fill="auto"/>
            <w:noWrap/>
            <w:vAlign w:val="center"/>
            <w:hideMark/>
          </w:tcPr>
          <w:p w14:paraId="07CB1899"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Previous medications</w:t>
            </w:r>
          </w:p>
        </w:tc>
        <w:tc>
          <w:tcPr>
            <w:tcW w:w="5528" w:type="dxa"/>
            <w:shd w:val="clear" w:color="auto" w:fill="auto"/>
            <w:noWrap/>
            <w:vAlign w:val="center"/>
            <w:hideMark/>
          </w:tcPr>
          <w:p w14:paraId="157B5936"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Calcium-channel blockers, β-blockers, angiotensin converting enzyme inhibitors, angiotensin II receptor blockers, antidiabetic agents, anticoagulants, and antiarrhythmic drugs.</w:t>
            </w:r>
          </w:p>
        </w:tc>
      </w:tr>
      <w:tr w:rsidR="0072392F" w:rsidRPr="0072392F" w14:paraId="697EBBAE" w14:textId="77777777" w:rsidTr="006108B0">
        <w:trPr>
          <w:trHeight w:val="280"/>
        </w:trPr>
        <w:tc>
          <w:tcPr>
            <w:tcW w:w="3544" w:type="dxa"/>
            <w:shd w:val="clear" w:color="auto" w:fill="auto"/>
            <w:noWrap/>
            <w:vAlign w:val="center"/>
          </w:tcPr>
          <w:p w14:paraId="5E2B606E"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Infect</w:t>
            </w:r>
            <w:r w:rsidRPr="0072392F">
              <w:rPr>
                <w:rFonts w:ascii="Arial" w:eastAsia="游ゴシック" w:hAnsi="Arial" w:cs="Arial" w:hint="eastAsia"/>
                <w:color w:val="000000"/>
                <w:kern w:val="0"/>
                <w:sz w:val="24"/>
                <w:szCs w:val="24"/>
              </w:rPr>
              <w:t>i</w:t>
            </w:r>
            <w:r w:rsidRPr="0072392F">
              <w:rPr>
                <w:rFonts w:ascii="Arial" w:eastAsia="游ゴシック" w:hAnsi="Arial" w:cs="Arial"/>
                <w:color w:val="000000"/>
                <w:kern w:val="0"/>
                <w:sz w:val="24"/>
                <w:szCs w:val="24"/>
              </w:rPr>
              <w:t>on</w:t>
            </w:r>
          </w:p>
        </w:tc>
        <w:tc>
          <w:tcPr>
            <w:tcW w:w="5528" w:type="dxa"/>
            <w:shd w:val="clear" w:color="auto" w:fill="auto"/>
            <w:noWrap/>
            <w:vAlign w:val="center"/>
          </w:tcPr>
          <w:p w14:paraId="411F514D" w14:textId="77777777" w:rsidR="0072392F" w:rsidRPr="0072392F" w:rsidRDefault="0072392F" w:rsidP="0072392F">
            <w:pPr>
              <w:widowControl/>
              <w:jc w:val="left"/>
              <w:rPr>
                <w:rFonts w:ascii="Arial" w:eastAsia="ＭＳ Ｐゴシック" w:hAnsi="Arial" w:cs="Arial"/>
                <w:kern w:val="0"/>
                <w:sz w:val="24"/>
                <w:szCs w:val="24"/>
                <w:highlight w:val="yellow"/>
              </w:rPr>
            </w:pPr>
            <w:r w:rsidRPr="0072392F">
              <w:rPr>
                <w:rFonts w:ascii="Arial" w:eastAsia="游ゴシック" w:hAnsi="Arial" w:cs="Arial"/>
                <w:color w:val="000000"/>
                <w:kern w:val="0"/>
                <w:sz w:val="24"/>
                <w:szCs w:val="24"/>
              </w:rPr>
              <w:t>Based on the administration of antibiotics for infection at the onset of AF.</w:t>
            </w:r>
          </w:p>
        </w:tc>
      </w:tr>
      <w:tr w:rsidR="0072392F" w:rsidRPr="0072392F" w14:paraId="3229767C" w14:textId="77777777" w:rsidTr="006108B0">
        <w:trPr>
          <w:trHeight w:val="280"/>
        </w:trPr>
        <w:tc>
          <w:tcPr>
            <w:tcW w:w="3544" w:type="dxa"/>
            <w:shd w:val="clear" w:color="auto" w:fill="auto"/>
            <w:noWrap/>
            <w:vAlign w:val="center"/>
          </w:tcPr>
          <w:p w14:paraId="3DF2F1B4"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ＭＳ Ｐゴシック" w:hAnsi="Arial" w:cs="Arial"/>
                <w:kern w:val="0"/>
                <w:sz w:val="24"/>
                <w:szCs w:val="24"/>
              </w:rPr>
              <w:t>Most damaged organ system,</w:t>
            </w:r>
          </w:p>
        </w:tc>
        <w:tc>
          <w:tcPr>
            <w:tcW w:w="5528" w:type="dxa"/>
            <w:shd w:val="clear" w:color="auto" w:fill="auto"/>
            <w:noWrap/>
            <w:vAlign w:val="center"/>
          </w:tcPr>
          <w:p w14:paraId="2C2F6B05"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ＭＳ Ｐゴシック" w:hAnsi="Arial" w:cs="Arial"/>
                <w:kern w:val="0"/>
                <w:sz w:val="24"/>
                <w:szCs w:val="24"/>
              </w:rPr>
              <w:t>Based on surgical site for surgical patients or primary disease related to ICU admission for medical patients.</w:t>
            </w:r>
          </w:p>
        </w:tc>
      </w:tr>
      <w:tr w:rsidR="0072392F" w:rsidRPr="0072392F" w14:paraId="2A12C101" w14:textId="77777777" w:rsidTr="006108B0">
        <w:trPr>
          <w:trHeight w:val="280"/>
        </w:trPr>
        <w:tc>
          <w:tcPr>
            <w:tcW w:w="3544" w:type="dxa"/>
            <w:shd w:val="clear" w:color="auto" w:fill="auto"/>
            <w:noWrap/>
            <w:vAlign w:val="center"/>
          </w:tcPr>
          <w:p w14:paraId="7BB33A73"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hint="eastAsia"/>
                <w:color w:val="000000"/>
                <w:kern w:val="0"/>
                <w:sz w:val="24"/>
                <w:szCs w:val="24"/>
              </w:rPr>
              <w:t>P</w:t>
            </w:r>
            <w:r w:rsidRPr="0072392F">
              <w:rPr>
                <w:rFonts w:ascii="Arial" w:eastAsia="游ゴシック" w:hAnsi="Arial" w:cs="Arial"/>
                <w:color w:val="000000"/>
                <w:kern w:val="0"/>
                <w:sz w:val="24"/>
                <w:szCs w:val="24"/>
              </w:rPr>
              <w:t>hysiological data</w:t>
            </w:r>
          </w:p>
        </w:tc>
        <w:tc>
          <w:tcPr>
            <w:tcW w:w="5528" w:type="dxa"/>
            <w:shd w:val="clear" w:color="auto" w:fill="auto"/>
            <w:noWrap/>
            <w:vAlign w:val="center"/>
          </w:tcPr>
          <w:p w14:paraId="25D651F4"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ＭＳ Ｐゴシック" w:hAnsi="Arial" w:cs="Arial"/>
                <w:kern w:val="0"/>
                <w:sz w:val="24"/>
                <w:szCs w:val="24"/>
              </w:rPr>
              <w:t>Blood pressure before and at the onset of AF, heart rate before and at the onset of AF, respiratory rate at the onset of AF, and GCS at the onset of AF.</w:t>
            </w:r>
          </w:p>
        </w:tc>
      </w:tr>
      <w:tr w:rsidR="0072392F" w:rsidRPr="0072392F" w14:paraId="61D68C2C" w14:textId="77777777" w:rsidTr="006108B0">
        <w:trPr>
          <w:trHeight w:val="280"/>
        </w:trPr>
        <w:tc>
          <w:tcPr>
            <w:tcW w:w="3544" w:type="dxa"/>
            <w:shd w:val="clear" w:color="auto" w:fill="auto"/>
            <w:noWrap/>
            <w:vAlign w:val="center"/>
            <w:hideMark/>
          </w:tcPr>
          <w:p w14:paraId="2C830228"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Vasopressors</w:t>
            </w:r>
          </w:p>
        </w:tc>
        <w:tc>
          <w:tcPr>
            <w:tcW w:w="5528" w:type="dxa"/>
            <w:shd w:val="clear" w:color="auto" w:fill="auto"/>
            <w:noWrap/>
            <w:vAlign w:val="center"/>
            <w:hideMark/>
          </w:tcPr>
          <w:p w14:paraId="38F67440"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Norepinephrine, adrenaline, dopamine, and vasopressin at the onset of AF.</w:t>
            </w:r>
          </w:p>
        </w:tc>
      </w:tr>
      <w:tr w:rsidR="0072392F" w:rsidRPr="0072392F" w14:paraId="5153D512" w14:textId="77777777" w:rsidTr="006108B0">
        <w:trPr>
          <w:trHeight w:val="280"/>
        </w:trPr>
        <w:tc>
          <w:tcPr>
            <w:tcW w:w="3544" w:type="dxa"/>
            <w:shd w:val="clear" w:color="auto" w:fill="auto"/>
            <w:noWrap/>
            <w:vAlign w:val="center"/>
            <w:hideMark/>
          </w:tcPr>
          <w:p w14:paraId="7ECC546A"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Inotropes</w:t>
            </w:r>
          </w:p>
        </w:tc>
        <w:tc>
          <w:tcPr>
            <w:tcW w:w="5528" w:type="dxa"/>
            <w:shd w:val="clear" w:color="auto" w:fill="auto"/>
            <w:noWrap/>
            <w:vAlign w:val="center"/>
            <w:hideMark/>
          </w:tcPr>
          <w:p w14:paraId="7FCF5DF1"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Dobutamine and phosphodiesterase at the onset of AF.</w:t>
            </w:r>
          </w:p>
        </w:tc>
      </w:tr>
      <w:tr w:rsidR="0072392F" w:rsidRPr="0072392F" w14:paraId="1A16FF69" w14:textId="77777777" w:rsidTr="006108B0">
        <w:trPr>
          <w:trHeight w:val="280"/>
        </w:trPr>
        <w:tc>
          <w:tcPr>
            <w:tcW w:w="3544" w:type="dxa"/>
            <w:shd w:val="clear" w:color="auto" w:fill="auto"/>
            <w:noWrap/>
            <w:vAlign w:val="center"/>
            <w:hideMark/>
          </w:tcPr>
          <w:p w14:paraId="1821EA62"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Antiarrhythmic drugs</w:t>
            </w:r>
          </w:p>
        </w:tc>
        <w:tc>
          <w:tcPr>
            <w:tcW w:w="5528" w:type="dxa"/>
            <w:shd w:val="clear" w:color="auto" w:fill="auto"/>
            <w:noWrap/>
            <w:vAlign w:val="center"/>
            <w:hideMark/>
          </w:tcPr>
          <w:p w14:paraId="68297915" w14:textId="0D8BD319"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Landiolol, bisoprolol, other β-blockers, diltiazem, verapamil, digoxin, magnesium sulfate, amiodarone, pilsicainide, and other antiarrhythmic agents.</w:t>
            </w:r>
          </w:p>
        </w:tc>
      </w:tr>
      <w:tr w:rsidR="0072392F" w:rsidRPr="0072392F" w14:paraId="480B7F9F" w14:textId="77777777" w:rsidTr="006108B0">
        <w:trPr>
          <w:trHeight w:val="280"/>
        </w:trPr>
        <w:tc>
          <w:tcPr>
            <w:tcW w:w="3544" w:type="dxa"/>
            <w:shd w:val="clear" w:color="auto" w:fill="auto"/>
            <w:noWrap/>
            <w:vAlign w:val="center"/>
          </w:tcPr>
          <w:p w14:paraId="7F511E61"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hint="eastAsia"/>
                <w:color w:val="000000"/>
                <w:kern w:val="0"/>
                <w:sz w:val="24"/>
                <w:szCs w:val="24"/>
              </w:rPr>
              <w:t>S</w:t>
            </w:r>
            <w:r w:rsidRPr="0072392F">
              <w:rPr>
                <w:rFonts w:ascii="Arial" w:eastAsia="游ゴシック" w:hAnsi="Arial" w:cs="Arial"/>
                <w:color w:val="000000"/>
                <w:kern w:val="0"/>
                <w:sz w:val="24"/>
                <w:szCs w:val="24"/>
              </w:rPr>
              <w:t>edative drugs</w:t>
            </w:r>
          </w:p>
        </w:tc>
        <w:tc>
          <w:tcPr>
            <w:tcW w:w="5528" w:type="dxa"/>
            <w:shd w:val="clear" w:color="auto" w:fill="auto"/>
            <w:noWrap/>
            <w:vAlign w:val="center"/>
          </w:tcPr>
          <w:p w14:paraId="66077B21"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ＭＳ Ｐゴシック" w:hAnsi="Arial" w:cs="Arial"/>
                <w:color w:val="000000"/>
                <w:kern w:val="0"/>
                <w:sz w:val="24"/>
                <w:szCs w:val="24"/>
              </w:rPr>
              <w:t>Dexmedetomidine, propofol, midazolam at the onset of AF.</w:t>
            </w:r>
          </w:p>
        </w:tc>
      </w:tr>
      <w:tr w:rsidR="0072392F" w:rsidRPr="0072392F" w14:paraId="362C4ECB" w14:textId="77777777" w:rsidTr="006108B0">
        <w:trPr>
          <w:trHeight w:val="280"/>
        </w:trPr>
        <w:tc>
          <w:tcPr>
            <w:tcW w:w="3544" w:type="dxa"/>
            <w:shd w:val="clear" w:color="auto" w:fill="auto"/>
            <w:noWrap/>
            <w:vAlign w:val="center"/>
            <w:hideMark/>
          </w:tcPr>
          <w:p w14:paraId="7C2BE068"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lastRenderedPageBreak/>
              <w:t>Anticoagulants</w:t>
            </w:r>
          </w:p>
        </w:tc>
        <w:tc>
          <w:tcPr>
            <w:tcW w:w="5528" w:type="dxa"/>
            <w:shd w:val="clear" w:color="auto" w:fill="auto"/>
            <w:noWrap/>
            <w:vAlign w:val="center"/>
            <w:hideMark/>
          </w:tcPr>
          <w:p w14:paraId="3A4CFA54"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Heparin subcutaneous injection, heparin intravenous injection, warfarin, and direct oral anticoagulants.</w:t>
            </w:r>
          </w:p>
        </w:tc>
      </w:tr>
      <w:tr w:rsidR="0072392F" w:rsidRPr="0072392F" w14:paraId="115EA10A" w14:textId="77777777" w:rsidTr="006108B0">
        <w:trPr>
          <w:trHeight w:val="280"/>
        </w:trPr>
        <w:tc>
          <w:tcPr>
            <w:tcW w:w="3544" w:type="dxa"/>
            <w:shd w:val="clear" w:color="auto" w:fill="auto"/>
            <w:noWrap/>
            <w:vAlign w:val="center"/>
          </w:tcPr>
          <w:p w14:paraId="5CD79943"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Restoration of SR</w:t>
            </w:r>
          </w:p>
        </w:tc>
        <w:tc>
          <w:tcPr>
            <w:tcW w:w="5528" w:type="dxa"/>
            <w:shd w:val="clear" w:color="auto" w:fill="auto"/>
            <w:noWrap/>
            <w:vAlign w:val="center"/>
          </w:tcPr>
          <w:p w14:paraId="561F7F2C" w14:textId="4FE9D5FF"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ＭＳ Ｐゴシック" w:hAnsi="Arial" w:cs="Arial"/>
                <w:kern w:val="0"/>
                <w:sz w:val="24"/>
                <w:szCs w:val="24"/>
              </w:rPr>
              <w:t xml:space="preserve">Sustained SR for longer than 24 hours after the conversion from AF to SR </w:t>
            </w:r>
            <w:r w:rsidRPr="0072392F">
              <w:rPr>
                <w:rFonts w:ascii="Arial" w:eastAsia="ＭＳ Ｐゴシック" w:hAnsi="Arial" w:cs="Arial"/>
                <w:kern w:val="0"/>
                <w:sz w:val="24"/>
                <w:szCs w:val="24"/>
              </w:rPr>
              <w:fldChar w:fldCharType="begin" w:fldLock="1"/>
            </w:r>
            <w:r w:rsidR="00BD03ED">
              <w:rPr>
                <w:rFonts w:ascii="Arial" w:eastAsia="ＭＳ Ｐゴシック" w:hAnsi="Arial" w:cs="Arial"/>
                <w:kern w:val="0"/>
                <w:sz w:val="24"/>
                <w:szCs w:val="24"/>
              </w:rPr>
              <w:instrText>ADDIN CSL_CITATION {"citationItems":[{"id":"ITEM-1","itemData":{"DOI":"10.1186/s13054-016-1252-2","ISSN":"1466609X","abstract":"© 2016 Mitrić et al. Background: Atrial fibrillation is a common rhythm disturbance in the general medical-surgical intensive care unit. Amiodarone is a popular drug in this setting but evidence to inform clinical practice remains scarce. We aimed to identify whether variation in the clinical use of amiodarone was associated with recurrent atrial fibrillation. Methods: This was a retrospective audit of 177 critically ill patients who developed new-onset atrial fibrillation after admission to a tertiary level medical-surgical trauma intensive care unit. Patterns of amiodarone prescription (including dosage schedule and duration) were assessed in relation to recurrence of atrial fibrillation during the intensive care unit stay. Known recurrence risk factors, such as inotrope administration, cardiac disease indices, Charlson Comorbidity Index, magnesium concentrations, fluid balance, and potassium concentrations, were also included in adjusted analysis using forward stepwise logistic regression modelling. Results: The cohort had a median (interquartile range) age of 69 years (60-75), Acute Physiology and Chronic Health Evalution II score of 22 (17-28) and Charlson Comorbidity Index of 2 (1-4). A bolus dose of amiodarone followed by infusion (P = 0.02), in addition to continuing amiodarone infusion through to discharge from the intensive care unit (P  &lt;  0.001), were associated with less recurrent dysrhythmia. Recurrence after successful treatment was associated with ceasing amiodarone while an inotrope infusion continued (P  &lt;  0.001), and was more common in patients with a prior history of congestive cardiac failure (P = 0.04), and a diagnosis of systemic inflammatory response syndrome (P = 0.02). Conclusions: Amiodarone should be administered as a bolus dose followed immediately with an infusion when treating atrial fibrillation in the medical-surgical intensive care unit. Consideration should be given to continuing amiodarone infusions in patients on inotropes until they are ceased.","author":[{"dropping-particle":"","family":"Mitrić","given":"Goran","non-dropping-particle":"","parse-names":false,"suffix":""},{"dropping-particle":"","family":"Udy","given":"Andrew","non-dropping-particle":"","parse-names":false,"suffix":""},{"dropping-particle":"","family":"Bandeshe","given":"Hiran","non-dropping-particle":"","parse-names":false,"suffix":""},{"dropping-particle":"","family":"Clement","given":"Pierre","non-dropping-particle":"","parse-names":false,"suffix":""},{"dropping-particle":"","family":"Boots","given":"Rob","non-dropping-particle":"","parse-names":false,"suffix":""}],"container-title":"Critical Care","id":"ITEM-1","issue":"1","issued":{"date-parts":[["2016"]]},"page":"1-9","title":"Variable use of amiodarone is associated with a greater risk of recurrence of atrial fibrillation in the critically ill","type":"article-journal","volume":"20"},"uris":["http://www.mendeley.com/documents/?uuid=f22d5c74-0e20-4216-ac00-17e415be9ffe"]}],"mendeley":{"formattedCitation":"(2)","plainTextFormattedCitation":"(2)","previouslyFormattedCitation":"(2)"},"properties":{"noteIndex":0},"schema":"https://github.com/citation-style-language/schema/raw/master/csl-citation.json"}</w:instrText>
            </w:r>
            <w:r w:rsidRPr="0072392F">
              <w:rPr>
                <w:rFonts w:ascii="Arial" w:eastAsia="ＭＳ Ｐゴシック" w:hAnsi="Arial" w:cs="Arial"/>
                <w:kern w:val="0"/>
                <w:sz w:val="24"/>
                <w:szCs w:val="24"/>
              </w:rPr>
              <w:fldChar w:fldCharType="separate"/>
            </w:r>
            <w:r w:rsidR="00E34231">
              <w:rPr>
                <w:rFonts w:ascii="Arial" w:eastAsia="ＭＳ Ｐゴシック" w:hAnsi="Arial" w:cs="Arial"/>
                <w:noProof/>
                <w:kern w:val="0"/>
                <w:sz w:val="24"/>
                <w:szCs w:val="24"/>
              </w:rPr>
              <w:t>[</w:t>
            </w:r>
            <w:r w:rsidR="00BD03ED" w:rsidRPr="00BD03ED">
              <w:rPr>
                <w:rFonts w:ascii="Arial" w:eastAsia="ＭＳ Ｐゴシック" w:hAnsi="Arial" w:cs="Arial"/>
                <w:noProof/>
                <w:kern w:val="0"/>
                <w:sz w:val="24"/>
                <w:szCs w:val="24"/>
              </w:rPr>
              <w:t>2</w:t>
            </w:r>
            <w:r w:rsidR="00E34231">
              <w:rPr>
                <w:rFonts w:ascii="Arial" w:eastAsia="ＭＳ Ｐゴシック" w:hAnsi="Arial" w:cs="Arial"/>
                <w:noProof/>
                <w:kern w:val="0"/>
                <w:sz w:val="24"/>
                <w:szCs w:val="24"/>
              </w:rPr>
              <w:t>]</w:t>
            </w:r>
            <w:r w:rsidRPr="0072392F">
              <w:rPr>
                <w:rFonts w:ascii="Arial" w:eastAsia="ＭＳ Ｐゴシック" w:hAnsi="Arial" w:cs="Arial"/>
                <w:kern w:val="0"/>
                <w:sz w:val="24"/>
                <w:szCs w:val="24"/>
              </w:rPr>
              <w:fldChar w:fldCharType="end"/>
            </w:r>
            <w:r w:rsidR="00E34231" w:rsidRPr="0072392F">
              <w:rPr>
                <w:rFonts w:ascii="Arial" w:eastAsia="ＭＳ Ｐゴシック" w:hAnsi="Arial" w:cs="Arial"/>
                <w:kern w:val="0"/>
                <w:sz w:val="24"/>
                <w:szCs w:val="24"/>
              </w:rPr>
              <w:t xml:space="preserve"> </w:t>
            </w:r>
            <w:r w:rsidRPr="0072392F">
              <w:rPr>
                <w:rFonts w:ascii="Arial" w:eastAsia="ＭＳ Ｐゴシック" w:hAnsi="Arial" w:cs="Arial"/>
                <w:kern w:val="0"/>
                <w:sz w:val="24"/>
                <w:szCs w:val="24"/>
              </w:rPr>
              <w:t>.</w:t>
            </w:r>
          </w:p>
        </w:tc>
      </w:tr>
      <w:tr w:rsidR="0072392F" w:rsidRPr="0072392F" w14:paraId="38CB0CC6" w14:textId="77777777" w:rsidTr="006108B0">
        <w:trPr>
          <w:trHeight w:val="280"/>
        </w:trPr>
        <w:tc>
          <w:tcPr>
            <w:tcW w:w="3544" w:type="dxa"/>
            <w:shd w:val="clear" w:color="auto" w:fill="auto"/>
            <w:noWrap/>
            <w:vAlign w:val="center"/>
          </w:tcPr>
          <w:p w14:paraId="7654BF3E"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hint="eastAsia"/>
                <w:color w:val="000000"/>
                <w:kern w:val="0"/>
                <w:sz w:val="24"/>
                <w:szCs w:val="24"/>
              </w:rPr>
              <w:t>S</w:t>
            </w:r>
            <w:r w:rsidRPr="0072392F">
              <w:rPr>
                <w:rFonts w:ascii="Arial" w:eastAsia="游ゴシック" w:hAnsi="Arial" w:cs="Arial"/>
                <w:color w:val="000000"/>
                <w:kern w:val="0"/>
                <w:sz w:val="24"/>
                <w:szCs w:val="24"/>
              </w:rPr>
              <w:t>pontaneous restoration of SR</w:t>
            </w:r>
          </w:p>
        </w:tc>
        <w:tc>
          <w:tcPr>
            <w:tcW w:w="5528" w:type="dxa"/>
            <w:shd w:val="clear" w:color="auto" w:fill="auto"/>
            <w:noWrap/>
            <w:vAlign w:val="center"/>
          </w:tcPr>
          <w:p w14:paraId="2C3999B9"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hint="eastAsia"/>
                <w:color w:val="000000"/>
                <w:kern w:val="0"/>
                <w:sz w:val="24"/>
                <w:szCs w:val="24"/>
              </w:rPr>
              <w:t>R</w:t>
            </w:r>
            <w:r w:rsidRPr="0072392F">
              <w:rPr>
                <w:rFonts w:ascii="Arial" w:eastAsia="游ゴシック" w:hAnsi="Arial" w:cs="Arial"/>
                <w:color w:val="000000"/>
                <w:kern w:val="0"/>
                <w:sz w:val="24"/>
                <w:szCs w:val="24"/>
              </w:rPr>
              <w:t>estoration of sinus rhythm without any antiarrhythmic drugs.</w:t>
            </w:r>
          </w:p>
        </w:tc>
      </w:tr>
      <w:tr w:rsidR="0072392F" w:rsidRPr="0072392F" w14:paraId="0AD05A08" w14:textId="77777777" w:rsidTr="006108B0">
        <w:trPr>
          <w:trHeight w:val="280"/>
        </w:trPr>
        <w:tc>
          <w:tcPr>
            <w:tcW w:w="3544" w:type="dxa"/>
            <w:shd w:val="clear" w:color="auto" w:fill="auto"/>
            <w:noWrap/>
            <w:vAlign w:val="center"/>
          </w:tcPr>
          <w:p w14:paraId="60B5D51B"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hint="eastAsia"/>
                <w:color w:val="000000"/>
                <w:kern w:val="0"/>
                <w:sz w:val="24"/>
                <w:szCs w:val="24"/>
              </w:rPr>
              <w:t>B</w:t>
            </w:r>
            <w:r w:rsidRPr="0072392F">
              <w:rPr>
                <w:rFonts w:ascii="Arial" w:eastAsia="游ゴシック" w:hAnsi="Arial" w:cs="Arial"/>
                <w:color w:val="000000"/>
                <w:kern w:val="0"/>
                <w:sz w:val="24"/>
                <w:szCs w:val="24"/>
              </w:rPr>
              <w:t>leeding events</w:t>
            </w:r>
          </w:p>
        </w:tc>
        <w:tc>
          <w:tcPr>
            <w:tcW w:w="5528" w:type="dxa"/>
            <w:shd w:val="clear" w:color="auto" w:fill="auto"/>
            <w:noWrap/>
            <w:vAlign w:val="center"/>
          </w:tcPr>
          <w:p w14:paraId="3ABD4A18" w14:textId="7BEBB1EA"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hint="eastAsia"/>
                <w:color w:val="000000"/>
                <w:kern w:val="0"/>
                <w:sz w:val="24"/>
                <w:szCs w:val="24"/>
              </w:rPr>
              <w:t xml:space="preserve">Based </w:t>
            </w:r>
            <w:r w:rsidRPr="0072392F">
              <w:rPr>
                <w:rFonts w:ascii="Arial" w:eastAsia="游ゴシック" w:hAnsi="Arial" w:cs="Arial"/>
                <w:color w:val="000000"/>
                <w:kern w:val="0"/>
                <w:sz w:val="24"/>
                <w:szCs w:val="24"/>
              </w:rPr>
              <w:t xml:space="preserve">on Bleeding Academic Research Consortium definition for bleeding </w:t>
            </w:r>
            <w:r w:rsidR="00E34231">
              <w:rPr>
                <w:rFonts w:ascii="Arial" w:eastAsia="游ゴシック" w:hAnsi="Arial" w:cs="Arial"/>
                <w:color w:val="000000"/>
                <w:kern w:val="0"/>
                <w:sz w:val="24"/>
                <w:szCs w:val="24"/>
              </w:rPr>
              <w:t>[3]</w:t>
            </w:r>
            <w:r w:rsidRPr="0072392F">
              <w:rPr>
                <w:rFonts w:ascii="Arial" w:eastAsia="游ゴシック" w:hAnsi="Arial" w:cs="Arial"/>
                <w:color w:val="000000"/>
                <w:kern w:val="0"/>
                <w:sz w:val="24"/>
                <w:szCs w:val="24"/>
              </w:rPr>
              <w:t>. All other than type 0.</w:t>
            </w:r>
          </w:p>
        </w:tc>
      </w:tr>
      <w:tr w:rsidR="0072392F" w:rsidRPr="0072392F" w14:paraId="24EE7959" w14:textId="77777777" w:rsidTr="006108B0">
        <w:trPr>
          <w:trHeight w:val="280"/>
        </w:trPr>
        <w:tc>
          <w:tcPr>
            <w:tcW w:w="3544" w:type="dxa"/>
            <w:shd w:val="clear" w:color="auto" w:fill="auto"/>
            <w:noWrap/>
            <w:vAlign w:val="center"/>
          </w:tcPr>
          <w:p w14:paraId="761A9A2D"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hint="eastAsia"/>
                <w:color w:val="000000"/>
                <w:kern w:val="0"/>
                <w:sz w:val="24"/>
                <w:szCs w:val="24"/>
              </w:rPr>
              <w:t>A</w:t>
            </w:r>
            <w:r w:rsidRPr="0072392F">
              <w:rPr>
                <w:rFonts w:ascii="Arial" w:eastAsia="游ゴシック" w:hAnsi="Arial" w:cs="Arial"/>
                <w:color w:val="000000"/>
                <w:kern w:val="0"/>
                <w:sz w:val="24"/>
                <w:szCs w:val="24"/>
              </w:rPr>
              <w:t>rrythmia other than AF</w:t>
            </w:r>
          </w:p>
        </w:tc>
        <w:tc>
          <w:tcPr>
            <w:tcW w:w="5528" w:type="dxa"/>
            <w:shd w:val="clear" w:color="auto" w:fill="auto"/>
            <w:noWrap/>
            <w:vAlign w:val="center"/>
          </w:tcPr>
          <w:p w14:paraId="7599B62B" w14:textId="78860A26" w:rsidR="0072392F" w:rsidRPr="0072392F" w:rsidRDefault="0072392F" w:rsidP="0072392F">
            <w:pPr>
              <w:autoSpaceDE w:val="0"/>
              <w:autoSpaceDN w:val="0"/>
              <w:adjustRightInd w:val="0"/>
              <w:jc w:val="left"/>
              <w:rPr>
                <w:rFonts w:ascii="Times New Roman" w:hAnsi="Times New Roman" w:cs="Times New Roman"/>
                <w:kern w:val="0"/>
                <w:sz w:val="22"/>
              </w:rPr>
            </w:pPr>
            <w:r w:rsidRPr="0072392F">
              <w:rPr>
                <w:rFonts w:ascii="Arial" w:eastAsia="游ゴシック" w:hAnsi="Arial" w:cs="Arial"/>
                <w:color w:val="000000"/>
                <w:kern w:val="0"/>
                <w:sz w:val="24"/>
                <w:szCs w:val="24"/>
              </w:rPr>
              <w:t>Sustained ventricular arrhythmia requiring drug treatment or cardioversion or ablation, sustained supraventricular arrhythmia other than AF or AFL requiring drug treatment or cardioversion or ablation,</w:t>
            </w:r>
            <w:r w:rsidRPr="0072392F">
              <w:rPr>
                <w:rFonts w:ascii="Arial" w:eastAsia="游ゴシック" w:hAnsi="Arial" w:cs="Arial" w:hint="eastAsia"/>
                <w:color w:val="000000"/>
                <w:kern w:val="0"/>
                <w:sz w:val="24"/>
                <w:szCs w:val="24"/>
              </w:rPr>
              <w:t xml:space="preserve"> </w:t>
            </w:r>
            <w:r w:rsidRPr="0072392F">
              <w:rPr>
                <w:rFonts w:ascii="Arial" w:eastAsia="游ゴシック" w:hAnsi="Arial" w:cs="Arial"/>
                <w:color w:val="000000"/>
                <w:kern w:val="0"/>
                <w:sz w:val="24"/>
                <w:szCs w:val="24"/>
              </w:rPr>
              <w:t>cardiac conduction abnormalities requiring permanent pacemaker</w:t>
            </w:r>
            <w:r w:rsidRPr="0072392F">
              <w:rPr>
                <w:rFonts w:ascii="Arial" w:eastAsia="游ゴシック" w:hAnsi="Arial" w:cs="Arial" w:hint="eastAsia"/>
                <w:color w:val="000000"/>
                <w:kern w:val="0"/>
                <w:sz w:val="24"/>
                <w:szCs w:val="24"/>
              </w:rPr>
              <w:t>,</w:t>
            </w:r>
            <w:r w:rsidRPr="0072392F">
              <w:rPr>
                <w:rFonts w:ascii="Arial" w:eastAsia="游ゴシック" w:hAnsi="Arial" w:cs="Arial"/>
                <w:color w:val="000000"/>
                <w:kern w:val="0"/>
                <w:sz w:val="24"/>
                <w:szCs w:val="24"/>
              </w:rPr>
              <w:t xml:space="preserve"> QTc prolongation &gt; 500ms</w:t>
            </w:r>
            <w:r w:rsidR="00E34231">
              <w:rPr>
                <w:rFonts w:ascii="Arial" w:eastAsia="游ゴシック" w:hAnsi="Arial" w:cs="Arial"/>
                <w:color w:val="000000"/>
                <w:kern w:val="0"/>
                <w:sz w:val="24"/>
                <w:szCs w:val="24"/>
              </w:rPr>
              <w:t xml:space="preserve"> [4]</w:t>
            </w:r>
            <w:r w:rsidRPr="0072392F">
              <w:rPr>
                <w:rFonts w:ascii="Arial" w:eastAsia="游ゴシック" w:hAnsi="Arial" w:cs="Arial"/>
                <w:color w:val="000000"/>
                <w:kern w:val="0"/>
                <w:sz w:val="24"/>
                <w:szCs w:val="24"/>
              </w:rPr>
              <w:t>.</w:t>
            </w:r>
          </w:p>
        </w:tc>
      </w:tr>
      <w:tr w:rsidR="00244479" w:rsidRPr="0072392F" w14:paraId="041D6DEC" w14:textId="77777777" w:rsidTr="006108B0">
        <w:trPr>
          <w:trHeight w:val="280"/>
        </w:trPr>
        <w:tc>
          <w:tcPr>
            <w:tcW w:w="3544" w:type="dxa"/>
            <w:shd w:val="clear" w:color="auto" w:fill="auto"/>
            <w:noWrap/>
            <w:vAlign w:val="center"/>
          </w:tcPr>
          <w:p w14:paraId="3085E4CE" w14:textId="143B1347" w:rsidR="00244479" w:rsidRPr="0072392F" w:rsidRDefault="00244479" w:rsidP="0072392F">
            <w:pPr>
              <w:widowControl/>
              <w:jc w:val="left"/>
              <w:rPr>
                <w:rFonts w:ascii="Arial" w:eastAsia="游ゴシック" w:hAnsi="Arial" w:cs="Arial"/>
                <w:color w:val="000000"/>
                <w:kern w:val="0"/>
                <w:sz w:val="24"/>
                <w:szCs w:val="24"/>
              </w:rPr>
            </w:pPr>
            <w:r>
              <w:rPr>
                <w:rFonts w:ascii="Arial" w:eastAsia="游ゴシック" w:hAnsi="Arial" w:cs="Arial" w:hint="eastAsia"/>
                <w:color w:val="000000"/>
                <w:kern w:val="0"/>
                <w:sz w:val="24"/>
                <w:szCs w:val="24"/>
              </w:rPr>
              <w:t>S</w:t>
            </w:r>
            <w:r>
              <w:rPr>
                <w:rFonts w:ascii="Arial" w:eastAsia="游ゴシック" w:hAnsi="Arial" w:cs="Arial"/>
                <w:color w:val="000000"/>
                <w:kern w:val="0"/>
                <w:sz w:val="24"/>
                <w:szCs w:val="24"/>
              </w:rPr>
              <w:t>ustained AF</w:t>
            </w:r>
          </w:p>
        </w:tc>
        <w:tc>
          <w:tcPr>
            <w:tcW w:w="5528" w:type="dxa"/>
            <w:shd w:val="clear" w:color="auto" w:fill="auto"/>
            <w:noWrap/>
            <w:vAlign w:val="center"/>
          </w:tcPr>
          <w:p w14:paraId="1BA78170" w14:textId="5C5772C4" w:rsidR="00244479" w:rsidRPr="0072392F" w:rsidRDefault="00DE10A0" w:rsidP="0072392F">
            <w:pPr>
              <w:autoSpaceDE w:val="0"/>
              <w:autoSpaceDN w:val="0"/>
              <w:adjustRightInd w:val="0"/>
              <w:jc w:val="left"/>
              <w:rPr>
                <w:rFonts w:ascii="Arial" w:eastAsia="游ゴシック" w:hAnsi="Arial" w:cs="Arial"/>
                <w:color w:val="000000"/>
                <w:kern w:val="0"/>
                <w:sz w:val="24"/>
                <w:szCs w:val="24"/>
              </w:rPr>
            </w:pPr>
            <w:r>
              <w:rPr>
                <w:rFonts w:ascii="Arial" w:eastAsia="游ゴシック" w:hAnsi="Arial" w:cs="Arial"/>
                <w:color w:val="000000"/>
                <w:kern w:val="0"/>
                <w:sz w:val="24"/>
                <w:szCs w:val="24"/>
              </w:rPr>
              <w:t>R</w:t>
            </w:r>
            <w:r w:rsidR="00244479">
              <w:rPr>
                <w:rFonts w:ascii="Arial" w:eastAsia="游ゴシック" w:hAnsi="Arial" w:cs="Arial"/>
                <w:color w:val="000000"/>
                <w:kern w:val="0"/>
                <w:sz w:val="24"/>
                <w:szCs w:val="24"/>
              </w:rPr>
              <w:t>emained AF without restoration of SR from the onset of AF.</w:t>
            </w:r>
          </w:p>
        </w:tc>
      </w:tr>
      <w:tr w:rsidR="0072392F" w:rsidRPr="0072392F" w14:paraId="6EF44FEE" w14:textId="77777777" w:rsidTr="006108B0">
        <w:trPr>
          <w:trHeight w:val="280"/>
        </w:trPr>
        <w:tc>
          <w:tcPr>
            <w:tcW w:w="3544" w:type="dxa"/>
            <w:shd w:val="clear" w:color="auto" w:fill="auto"/>
            <w:noWrap/>
            <w:vAlign w:val="center"/>
          </w:tcPr>
          <w:p w14:paraId="6BB20A32" w14:textId="53143E4A" w:rsidR="0072392F" w:rsidRPr="0072392F" w:rsidRDefault="00244479"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R</w:t>
            </w:r>
            <w:r w:rsidR="0072392F" w:rsidRPr="0072392F">
              <w:rPr>
                <w:rFonts w:ascii="Arial" w:eastAsia="游ゴシック" w:hAnsi="Arial" w:cs="Arial"/>
                <w:color w:val="000000"/>
                <w:kern w:val="0"/>
                <w:sz w:val="24"/>
                <w:szCs w:val="24"/>
              </w:rPr>
              <w:t>ecurrence</w:t>
            </w:r>
            <w:r>
              <w:rPr>
                <w:rFonts w:ascii="Arial" w:eastAsia="游ゴシック" w:hAnsi="Arial" w:cs="Arial"/>
                <w:color w:val="000000"/>
                <w:kern w:val="0"/>
                <w:sz w:val="24"/>
                <w:szCs w:val="24"/>
              </w:rPr>
              <w:t xml:space="preserve"> </w:t>
            </w:r>
            <w:r w:rsidRPr="0072392F">
              <w:rPr>
                <w:rFonts w:ascii="Arial" w:eastAsia="游ゴシック" w:hAnsi="Arial" w:cs="Arial" w:hint="eastAsia"/>
                <w:color w:val="000000"/>
                <w:kern w:val="0"/>
                <w:sz w:val="24"/>
                <w:szCs w:val="24"/>
              </w:rPr>
              <w:t>A</w:t>
            </w:r>
            <w:r w:rsidRPr="0072392F">
              <w:rPr>
                <w:rFonts w:ascii="Arial" w:eastAsia="游ゴシック" w:hAnsi="Arial" w:cs="Arial"/>
                <w:color w:val="000000"/>
                <w:kern w:val="0"/>
                <w:sz w:val="24"/>
                <w:szCs w:val="24"/>
              </w:rPr>
              <w:t>F</w:t>
            </w:r>
          </w:p>
        </w:tc>
        <w:tc>
          <w:tcPr>
            <w:tcW w:w="5528" w:type="dxa"/>
            <w:shd w:val="clear" w:color="auto" w:fill="auto"/>
            <w:noWrap/>
            <w:vAlign w:val="center"/>
          </w:tcPr>
          <w:p w14:paraId="283E0937" w14:textId="11118FD5" w:rsidR="0072392F" w:rsidRPr="0072392F" w:rsidRDefault="00DE10A0" w:rsidP="00DE10A0">
            <w:pPr>
              <w:widowControl/>
              <w:jc w:val="left"/>
              <w:rPr>
                <w:rFonts w:ascii="Arial" w:eastAsia="游ゴシック" w:hAnsi="Arial" w:cs="Arial"/>
                <w:color w:val="000000"/>
                <w:kern w:val="0"/>
                <w:sz w:val="24"/>
                <w:szCs w:val="24"/>
              </w:rPr>
            </w:pPr>
            <w:r>
              <w:rPr>
                <w:rFonts w:ascii="Arial" w:eastAsia="游ゴシック" w:hAnsi="Arial" w:cs="Arial"/>
                <w:color w:val="000000"/>
                <w:kern w:val="0"/>
                <w:sz w:val="24"/>
                <w:szCs w:val="24"/>
              </w:rPr>
              <w:t>O</w:t>
            </w:r>
            <w:r w:rsidR="0072392F" w:rsidRPr="0072392F">
              <w:rPr>
                <w:rFonts w:ascii="Arial" w:eastAsia="游ゴシック" w:hAnsi="Arial" w:cs="Arial"/>
                <w:color w:val="000000"/>
                <w:kern w:val="0"/>
                <w:sz w:val="24"/>
                <w:szCs w:val="24"/>
              </w:rPr>
              <w:t>ccurrence of AF after restoration of SR</w:t>
            </w:r>
          </w:p>
        </w:tc>
      </w:tr>
      <w:tr w:rsidR="0072392F" w:rsidRPr="0072392F" w14:paraId="0B4CF892" w14:textId="77777777" w:rsidTr="006108B0">
        <w:trPr>
          <w:trHeight w:val="280"/>
        </w:trPr>
        <w:tc>
          <w:tcPr>
            <w:tcW w:w="3544" w:type="dxa"/>
            <w:shd w:val="clear" w:color="auto" w:fill="auto"/>
            <w:noWrap/>
            <w:vAlign w:val="center"/>
          </w:tcPr>
          <w:p w14:paraId="2DAB4C35"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hint="eastAsia"/>
                <w:color w:val="000000"/>
                <w:kern w:val="0"/>
                <w:sz w:val="24"/>
                <w:szCs w:val="24"/>
              </w:rPr>
              <w:t>T</w:t>
            </w:r>
            <w:r w:rsidRPr="0072392F">
              <w:rPr>
                <w:rFonts w:ascii="Arial" w:eastAsia="游ゴシック" w:hAnsi="Arial" w:cs="Arial"/>
                <w:color w:val="000000"/>
                <w:kern w:val="0"/>
                <w:sz w:val="24"/>
                <w:szCs w:val="24"/>
              </w:rPr>
              <w:t>otal AF length</w:t>
            </w:r>
          </w:p>
        </w:tc>
        <w:tc>
          <w:tcPr>
            <w:tcW w:w="5528" w:type="dxa"/>
            <w:shd w:val="clear" w:color="auto" w:fill="auto"/>
            <w:noWrap/>
            <w:vAlign w:val="center"/>
          </w:tcPr>
          <w:p w14:paraId="1F9752B7" w14:textId="77777777" w:rsidR="0072392F" w:rsidRPr="0072392F" w:rsidRDefault="0072392F" w:rsidP="0072392F">
            <w:pPr>
              <w:widowControl/>
              <w:jc w:val="left"/>
              <w:rPr>
                <w:rFonts w:ascii="Arial" w:eastAsia="游ゴシック" w:hAnsi="Arial" w:cs="Arial"/>
                <w:color w:val="000000"/>
                <w:kern w:val="0"/>
                <w:sz w:val="24"/>
                <w:szCs w:val="24"/>
              </w:rPr>
            </w:pPr>
            <w:bookmarkStart w:id="1" w:name="_Hlk13939458"/>
            <w:r w:rsidRPr="0072392F">
              <w:rPr>
                <w:rFonts w:ascii="Arial" w:eastAsia="ＭＳ Ｐゴシック" w:hAnsi="Arial" w:cs="Arial"/>
                <w:kern w:val="0"/>
                <w:sz w:val="24"/>
                <w:szCs w:val="24"/>
              </w:rPr>
              <w:t xml:space="preserve">Sum of AF length </w:t>
            </w:r>
            <w:bookmarkEnd w:id="1"/>
            <w:r w:rsidRPr="0072392F">
              <w:rPr>
                <w:rFonts w:ascii="Arial" w:eastAsia="ＭＳ Ｐゴシック" w:hAnsi="Arial" w:cs="Arial"/>
                <w:kern w:val="0"/>
                <w:sz w:val="24"/>
                <w:szCs w:val="24"/>
              </w:rPr>
              <w:t>within seven days after the AF onset or during ICU stay, whichever was shorter.</w:t>
            </w:r>
          </w:p>
        </w:tc>
      </w:tr>
      <w:tr w:rsidR="0072392F" w:rsidRPr="0072392F" w14:paraId="4D8A0F08" w14:textId="77777777" w:rsidTr="006108B0">
        <w:trPr>
          <w:trHeight w:val="280"/>
        </w:trPr>
        <w:tc>
          <w:tcPr>
            <w:tcW w:w="3544" w:type="dxa"/>
            <w:shd w:val="clear" w:color="auto" w:fill="auto"/>
            <w:noWrap/>
            <w:vAlign w:val="center"/>
            <w:hideMark/>
          </w:tcPr>
          <w:p w14:paraId="09E4EFAD"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Length of ICU stays</w:t>
            </w:r>
          </w:p>
        </w:tc>
        <w:tc>
          <w:tcPr>
            <w:tcW w:w="5528" w:type="dxa"/>
            <w:shd w:val="clear" w:color="auto" w:fill="auto"/>
            <w:noWrap/>
            <w:vAlign w:val="center"/>
            <w:hideMark/>
          </w:tcPr>
          <w:p w14:paraId="2ECB6FBA"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Duration from the onset of AF to ICU discharge.</w:t>
            </w:r>
          </w:p>
        </w:tc>
      </w:tr>
      <w:tr w:rsidR="0072392F" w:rsidRPr="0072392F" w14:paraId="4D8B78BF" w14:textId="77777777" w:rsidTr="006108B0">
        <w:trPr>
          <w:trHeight w:val="280"/>
        </w:trPr>
        <w:tc>
          <w:tcPr>
            <w:tcW w:w="3544" w:type="dxa"/>
            <w:shd w:val="clear" w:color="auto" w:fill="auto"/>
            <w:noWrap/>
            <w:vAlign w:val="center"/>
          </w:tcPr>
          <w:p w14:paraId="446F854A"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Length of hospital stays</w:t>
            </w:r>
          </w:p>
        </w:tc>
        <w:tc>
          <w:tcPr>
            <w:tcW w:w="5528" w:type="dxa"/>
            <w:shd w:val="clear" w:color="auto" w:fill="auto"/>
            <w:noWrap/>
            <w:vAlign w:val="center"/>
          </w:tcPr>
          <w:p w14:paraId="05594A7E" w14:textId="77777777" w:rsidR="0072392F" w:rsidRPr="0072392F" w:rsidRDefault="0072392F" w:rsidP="0072392F">
            <w:pPr>
              <w:widowControl/>
              <w:jc w:val="left"/>
              <w:rPr>
                <w:rFonts w:ascii="Arial" w:eastAsia="游ゴシック" w:hAnsi="Arial" w:cs="Arial"/>
                <w:color w:val="000000"/>
                <w:kern w:val="0"/>
                <w:sz w:val="24"/>
                <w:szCs w:val="24"/>
              </w:rPr>
            </w:pPr>
            <w:r w:rsidRPr="0072392F">
              <w:rPr>
                <w:rFonts w:ascii="Arial" w:eastAsia="游ゴシック" w:hAnsi="Arial" w:cs="Arial"/>
                <w:color w:val="000000"/>
                <w:kern w:val="0"/>
                <w:sz w:val="24"/>
                <w:szCs w:val="24"/>
              </w:rPr>
              <w:t>Duration from the onset of AF to hospital discharge.</w:t>
            </w:r>
          </w:p>
        </w:tc>
      </w:tr>
    </w:tbl>
    <w:p w14:paraId="234D88A2" w14:textId="32B086FF" w:rsidR="0072392F" w:rsidRDefault="0072392F">
      <w:pPr>
        <w:widowControl/>
        <w:jc w:val="left"/>
        <w:rPr>
          <w:rFonts w:ascii="Arial" w:eastAsia="ＭＳ 明朝" w:hAnsi="Arial" w:cs="Arial"/>
          <w:b/>
          <w:sz w:val="24"/>
          <w:szCs w:val="24"/>
        </w:rPr>
      </w:pPr>
    </w:p>
    <w:p w14:paraId="3937B9D5" w14:textId="558E0642" w:rsidR="00BD03ED" w:rsidRDefault="00BD03ED" w:rsidP="006108B0">
      <w:pPr>
        <w:widowControl/>
        <w:spacing w:line="480" w:lineRule="auto"/>
        <w:jc w:val="left"/>
        <w:rPr>
          <w:rFonts w:ascii="Arial" w:eastAsia="ＭＳ 明朝" w:hAnsi="Arial" w:cs="Arial"/>
          <w:b/>
          <w:sz w:val="24"/>
          <w:szCs w:val="24"/>
        </w:rPr>
      </w:pPr>
      <w:r>
        <w:rPr>
          <w:rFonts w:ascii="Arial" w:eastAsia="ＭＳ 明朝" w:hAnsi="Arial" w:cs="Arial"/>
          <w:b/>
          <w:sz w:val="24"/>
          <w:szCs w:val="24"/>
        </w:rPr>
        <w:t xml:space="preserve">Reference </w:t>
      </w:r>
    </w:p>
    <w:p w14:paraId="561F9CFC" w14:textId="6E646401" w:rsidR="00DA0600" w:rsidRPr="00704655" w:rsidRDefault="00BD03ED" w:rsidP="00DA0600">
      <w:pPr>
        <w:autoSpaceDE w:val="0"/>
        <w:autoSpaceDN w:val="0"/>
        <w:adjustRightInd w:val="0"/>
        <w:spacing w:line="480" w:lineRule="auto"/>
        <w:ind w:left="640" w:hanging="640"/>
        <w:jc w:val="left"/>
        <w:rPr>
          <w:rFonts w:ascii="Arial" w:hAnsi="Arial" w:cs="Arial"/>
          <w:noProof/>
          <w:kern w:val="0"/>
          <w:sz w:val="24"/>
          <w:szCs w:val="24"/>
        </w:rPr>
      </w:pPr>
      <w:r w:rsidRPr="00704655">
        <w:rPr>
          <w:rFonts w:ascii="Arial" w:eastAsia="ＭＳ 明朝" w:hAnsi="Arial" w:cs="Arial"/>
          <w:b/>
          <w:sz w:val="24"/>
          <w:szCs w:val="24"/>
        </w:rPr>
        <w:fldChar w:fldCharType="begin" w:fldLock="1"/>
      </w:r>
      <w:r w:rsidRPr="00704655">
        <w:rPr>
          <w:rFonts w:ascii="Arial" w:eastAsia="ＭＳ 明朝" w:hAnsi="Arial" w:cs="Arial"/>
          <w:b/>
          <w:sz w:val="24"/>
          <w:szCs w:val="24"/>
        </w:rPr>
        <w:instrText xml:space="preserve">ADDIN Mendeley Bibliography CSL_BIBLIOGRAPHY </w:instrText>
      </w:r>
      <w:r w:rsidRPr="00704655">
        <w:rPr>
          <w:rFonts w:ascii="Arial" w:eastAsia="ＭＳ 明朝" w:hAnsi="Arial" w:cs="Arial"/>
          <w:b/>
          <w:sz w:val="24"/>
          <w:szCs w:val="24"/>
        </w:rPr>
        <w:fldChar w:fldCharType="separate"/>
      </w:r>
      <w:r w:rsidR="00DA0600" w:rsidRPr="00704655">
        <w:rPr>
          <w:rFonts w:ascii="Arial" w:hAnsi="Arial" w:cs="Arial"/>
          <w:noProof/>
          <w:kern w:val="0"/>
          <w:sz w:val="24"/>
          <w:szCs w:val="24"/>
        </w:rPr>
        <w:t>1.</w:t>
      </w:r>
      <w:r w:rsidR="00DA0600" w:rsidRPr="00704655">
        <w:rPr>
          <w:rFonts w:ascii="Arial" w:hAnsi="Arial" w:cs="Arial"/>
          <w:noProof/>
          <w:kern w:val="0"/>
          <w:sz w:val="24"/>
          <w:szCs w:val="24"/>
        </w:rPr>
        <w:tab/>
        <w:t>Gage BF, Waterman AD, Shannon W, Boechler M, Rich MW, Radford MJ. Validation of clinical classification schemes for predicting stroke: results from the National Registry of Atrial Fibrillation. JAMA 2001;285:2864–70.</w:t>
      </w:r>
    </w:p>
    <w:p w14:paraId="15D65F6B" w14:textId="77777777" w:rsidR="00DA0600" w:rsidRPr="00704655" w:rsidRDefault="00DA0600" w:rsidP="00DA0600">
      <w:pPr>
        <w:autoSpaceDE w:val="0"/>
        <w:autoSpaceDN w:val="0"/>
        <w:adjustRightInd w:val="0"/>
        <w:spacing w:line="480" w:lineRule="auto"/>
        <w:ind w:left="640" w:hanging="640"/>
        <w:jc w:val="left"/>
        <w:rPr>
          <w:rFonts w:ascii="Arial" w:hAnsi="Arial" w:cs="Arial"/>
          <w:noProof/>
          <w:kern w:val="0"/>
          <w:sz w:val="24"/>
          <w:szCs w:val="24"/>
        </w:rPr>
      </w:pPr>
      <w:r w:rsidRPr="00704655">
        <w:rPr>
          <w:rFonts w:ascii="Arial" w:hAnsi="Arial" w:cs="Arial"/>
          <w:noProof/>
          <w:kern w:val="0"/>
          <w:sz w:val="24"/>
          <w:szCs w:val="24"/>
        </w:rPr>
        <w:t>2.</w:t>
      </w:r>
      <w:r w:rsidRPr="00704655">
        <w:rPr>
          <w:rFonts w:ascii="Arial" w:hAnsi="Arial" w:cs="Arial"/>
          <w:noProof/>
          <w:kern w:val="0"/>
          <w:sz w:val="24"/>
          <w:szCs w:val="24"/>
        </w:rPr>
        <w:tab/>
        <w:t>Mitrić G, Udy A, Bandeshe H, Clement P, Boots R. Variable use of amiodarone is associated with a greater risk of recurrence of atrial fibrillation in the critically ill. Crit Care 2016;20:1–9.</w:t>
      </w:r>
    </w:p>
    <w:p w14:paraId="5C17469D" w14:textId="6873C6E7" w:rsidR="00DA0600" w:rsidRPr="00704655" w:rsidRDefault="00DA0600" w:rsidP="00DA0600">
      <w:pPr>
        <w:autoSpaceDE w:val="0"/>
        <w:autoSpaceDN w:val="0"/>
        <w:adjustRightInd w:val="0"/>
        <w:spacing w:line="480" w:lineRule="auto"/>
        <w:ind w:left="640" w:hanging="640"/>
        <w:jc w:val="left"/>
        <w:rPr>
          <w:rFonts w:ascii="Arial" w:hAnsi="Arial" w:cs="Arial"/>
          <w:noProof/>
          <w:kern w:val="0"/>
          <w:sz w:val="24"/>
          <w:szCs w:val="24"/>
        </w:rPr>
      </w:pPr>
      <w:r w:rsidRPr="00704655">
        <w:rPr>
          <w:rFonts w:ascii="Arial" w:hAnsi="Arial" w:cs="Arial"/>
          <w:noProof/>
          <w:kern w:val="0"/>
          <w:sz w:val="24"/>
          <w:szCs w:val="24"/>
        </w:rPr>
        <w:t>3.</w:t>
      </w:r>
      <w:r w:rsidRPr="00704655">
        <w:rPr>
          <w:rFonts w:ascii="Arial" w:hAnsi="Arial" w:cs="Arial"/>
          <w:noProof/>
          <w:kern w:val="0"/>
          <w:sz w:val="24"/>
          <w:szCs w:val="24"/>
        </w:rPr>
        <w:tab/>
        <w:t>Mehran R, Rao S V., Bhatt DL, Gibson CM, Caixeta A, Eikelboom J,</w:t>
      </w:r>
      <w:r w:rsidR="00E34231" w:rsidRPr="00704655">
        <w:rPr>
          <w:rFonts w:ascii="Arial" w:hAnsi="Arial" w:cs="Arial"/>
          <w:noProof/>
          <w:kern w:val="0"/>
          <w:sz w:val="24"/>
          <w:szCs w:val="24"/>
        </w:rPr>
        <w:t xml:space="preserve"> et al</w:t>
      </w:r>
      <w:r w:rsidRPr="00704655">
        <w:rPr>
          <w:rFonts w:ascii="Arial" w:hAnsi="Arial" w:cs="Arial"/>
          <w:noProof/>
          <w:kern w:val="0"/>
          <w:sz w:val="24"/>
          <w:szCs w:val="24"/>
        </w:rPr>
        <w:t>. Standardized bleeding definitions for cardiovascular clinical trials: A consensus report from the bleeding academic research consortium. Circulation 2011;123:2736–2747.</w:t>
      </w:r>
    </w:p>
    <w:p w14:paraId="03FCDE77" w14:textId="77777777" w:rsidR="00DA0600" w:rsidRPr="00704655" w:rsidRDefault="00DA0600" w:rsidP="00DA0600">
      <w:pPr>
        <w:autoSpaceDE w:val="0"/>
        <w:autoSpaceDN w:val="0"/>
        <w:adjustRightInd w:val="0"/>
        <w:spacing w:line="480" w:lineRule="auto"/>
        <w:ind w:left="640" w:hanging="640"/>
        <w:jc w:val="left"/>
        <w:rPr>
          <w:rFonts w:ascii="Arial" w:hAnsi="Arial" w:cs="Arial"/>
          <w:noProof/>
          <w:sz w:val="24"/>
        </w:rPr>
      </w:pPr>
      <w:r w:rsidRPr="00704655">
        <w:rPr>
          <w:rFonts w:ascii="Arial" w:hAnsi="Arial" w:cs="Arial"/>
          <w:noProof/>
          <w:kern w:val="0"/>
          <w:sz w:val="24"/>
          <w:szCs w:val="24"/>
        </w:rPr>
        <w:t>4.</w:t>
      </w:r>
      <w:r w:rsidRPr="00704655">
        <w:rPr>
          <w:rFonts w:ascii="Arial" w:hAnsi="Arial" w:cs="Arial"/>
          <w:noProof/>
          <w:kern w:val="0"/>
          <w:sz w:val="24"/>
          <w:szCs w:val="24"/>
        </w:rPr>
        <w:tab/>
        <w:t>Gillinov AM, Bagiella E, Moskowitz AJ, Raiten JM, Groh MA, Bowdish ME, Ailawadi G, Kirkwood KA, Perrault LP, Parides MK, Smith RL, Kern JA, Dussault G, Hackmann AE, Jeffries NO, Miller MA, Taddei-Peters WC, Rose EA, Weisel RD, Williams DL, Mangusan RF, Argenziano M, Moquete EG, O’Sullivan KL, Pellerin M, Shah KJ, Gammie JS, Mayer M Lou, Voisine P, et al. Rate Control versus Rhythm Control for Atrial Fibrillation after Cardiac Surgery. N Engl J Med 2016;374:1911–1921.</w:t>
      </w:r>
    </w:p>
    <w:p w14:paraId="4492F794" w14:textId="45699007" w:rsidR="00BD03ED" w:rsidRPr="00704655" w:rsidRDefault="00BD03ED" w:rsidP="006108B0">
      <w:pPr>
        <w:widowControl/>
        <w:spacing w:line="480" w:lineRule="auto"/>
        <w:jc w:val="left"/>
        <w:rPr>
          <w:rFonts w:ascii="Arial" w:eastAsia="ＭＳ 明朝" w:hAnsi="Arial" w:cs="Arial"/>
          <w:b/>
          <w:sz w:val="24"/>
          <w:szCs w:val="24"/>
        </w:rPr>
      </w:pPr>
      <w:r w:rsidRPr="00704655">
        <w:rPr>
          <w:rFonts w:ascii="Arial" w:eastAsia="ＭＳ 明朝" w:hAnsi="Arial" w:cs="Arial"/>
          <w:b/>
          <w:sz w:val="24"/>
          <w:szCs w:val="24"/>
        </w:rPr>
        <w:fldChar w:fldCharType="end"/>
      </w:r>
    </w:p>
    <w:p w14:paraId="489BA4EF" w14:textId="59142E41" w:rsidR="0072392F" w:rsidRPr="00704655" w:rsidRDefault="0072392F">
      <w:pPr>
        <w:widowControl/>
        <w:jc w:val="left"/>
        <w:rPr>
          <w:rFonts w:ascii="Arial" w:eastAsia="ＭＳ 明朝" w:hAnsi="Arial" w:cs="Arial"/>
          <w:b/>
          <w:sz w:val="24"/>
          <w:szCs w:val="24"/>
        </w:rPr>
      </w:pPr>
    </w:p>
    <w:sectPr w:rsidR="0072392F" w:rsidRPr="00704655" w:rsidSect="002B2025">
      <w:pgSz w:w="11906" w:h="16838"/>
      <w:pgMar w:top="1418" w:right="1418" w:bottom="1418" w:left="1418"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2153D" w14:textId="77777777" w:rsidR="00B3258A" w:rsidRDefault="00B3258A" w:rsidP="003C5102">
      <w:r>
        <w:separator/>
      </w:r>
    </w:p>
  </w:endnote>
  <w:endnote w:type="continuationSeparator" w:id="0">
    <w:p w14:paraId="1C46DE30" w14:textId="77777777" w:rsidR="00B3258A" w:rsidRDefault="00B3258A" w:rsidP="003C5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18714" w14:textId="77777777" w:rsidR="00B3258A" w:rsidRDefault="00B3258A" w:rsidP="003C5102">
      <w:r>
        <w:separator/>
      </w:r>
    </w:p>
  </w:footnote>
  <w:footnote w:type="continuationSeparator" w:id="0">
    <w:p w14:paraId="6ACB936B" w14:textId="77777777" w:rsidR="00B3258A" w:rsidRDefault="00B3258A" w:rsidP="003C5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613F"/>
    <w:multiLevelType w:val="hybridMultilevel"/>
    <w:tmpl w:val="922C2E16"/>
    <w:lvl w:ilvl="0" w:tplc="43DA8D52">
      <w:start w:val="1"/>
      <w:numFmt w:val="bullet"/>
      <w:lvlText w:val="•"/>
      <w:lvlJc w:val="left"/>
      <w:pPr>
        <w:ind w:left="420" w:hanging="420"/>
      </w:pPr>
      <w:rPr>
        <w:rFonts w:ascii="Arial"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D81455"/>
    <w:multiLevelType w:val="hybridMultilevel"/>
    <w:tmpl w:val="E5848E1C"/>
    <w:lvl w:ilvl="0" w:tplc="FB6852CC">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67A03857"/>
    <w:multiLevelType w:val="hybridMultilevel"/>
    <w:tmpl w:val="28D28796"/>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798D61A0"/>
    <w:multiLevelType w:val="hybridMultilevel"/>
    <w:tmpl w:val="CA521F54"/>
    <w:lvl w:ilvl="0" w:tplc="FB860824">
      <w:start w:val="1"/>
      <w:numFmt w:val="decimal"/>
      <w:lvlText w:val="[%1]"/>
      <w:lvlJc w:val="center"/>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840"/>
  <w:drawingGridHorizontalSpacing w:val="105"/>
  <w:drawingGridVerticalSpacing w:val="17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35F"/>
    <w:rsid w:val="000154B3"/>
    <w:rsid w:val="00054623"/>
    <w:rsid w:val="0007035F"/>
    <w:rsid w:val="000D46FC"/>
    <w:rsid w:val="000D5EDA"/>
    <w:rsid w:val="000E7091"/>
    <w:rsid w:val="00122A93"/>
    <w:rsid w:val="0015535D"/>
    <w:rsid w:val="00162625"/>
    <w:rsid w:val="00187329"/>
    <w:rsid w:val="001F6498"/>
    <w:rsid w:val="00244479"/>
    <w:rsid w:val="002A0C3C"/>
    <w:rsid w:val="002B2025"/>
    <w:rsid w:val="003A7B29"/>
    <w:rsid w:val="003C5102"/>
    <w:rsid w:val="003E4E5D"/>
    <w:rsid w:val="00422F0F"/>
    <w:rsid w:val="004B7AE2"/>
    <w:rsid w:val="004C0F8A"/>
    <w:rsid w:val="004E4A9D"/>
    <w:rsid w:val="004F4013"/>
    <w:rsid w:val="005B2CB6"/>
    <w:rsid w:val="005C4289"/>
    <w:rsid w:val="005E1849"/>
    <w:rsid w:val="006108B0"/>
    <w:rsid w:val="006803C6"/>
    <w:rsid w:val="006F6711"/>
    <w:rsid w:val="00704655"/>
    <w:rsid w:val="007058B7"/>
    <w:rsid w:val="0072392F"/>
    <w:rsid w:val="00771663"/>
    <w:rsid w:val="007E5C02"/>
    <w:rsid w:val="00807284"/>
    <w:rsid w:val="00815A32"/>
    <w:rsid w:val="008721E8"/>
    <w:rsid w:val="00944B81"/>
    <w:rsid w:val="00984ABD"/>
    <w:rsid w:val="009A4EC1"/>
    <w:rsid w:val="009B62AF"/>
    <w:rsid w:val="00A531C8"/>
    <w:rsid w:val="00AD09F3"/>
    <w:rsid w:val="00B14A48"/>
    <w:rsid w:val="00B3258A"/>
    <w:rsid w:val="00BD03ED"/>
    <w:rsid w:val="00BE0312"/>
    <w:rsid w:val="00C1762A"/>
    <w:rsid w:val="00C66C4B"/>
    <w:rsid w:val="00C82737"/>
    <w:rsid w:val="00C846A4"/>
    <w:rsid w:val="00CF0B02"/>
    <w:rsid w:val="00DA0600"/>
    <w:rsid w:val="00DC5929"/>
    <w:rsid w:val="00DE10A0"/>
    <w:rsid w:val="00DE7A6B"/>
    <w:rsid w:val="00E34231"/>
    <w:rsid w:val="00E71D99"/>
    <w:rsid w:val="00E72085"/>
    <w:rsid w:val="00E90388"/>
    <w:rsid w:val="00ED5437"/>
    <w:rsid w:val="00F43ACF"/>
    <w:rsid w:val="00F8087D"/>
    <w:rsid w:val="00FC21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FD8ACF"/>
  <w15:chartTrackingRefBased/>
  <w15:docId w15:val="{EE16FCB3-2A9B-4071-80BE-9B78630AA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3C5102"/>
    <w:pPr>
      <w:widowControl/>
      <w:spacing w:before="240" w:after="120"/>
      <w:jc w:val="left"/>
      <w:outlineLvl w:val="0"/>
    </w:pPr>
    <w:rPr>
      <w:rFonts w:ascii="ＭＳ Ｐゴシック" w:eastAsia="ＭＳ Ｐゴシック" w:hAnsi="ＭＳ Ｐゴシック" w:cs="ＭＳ Ｐゴシック"/>
      <w:b/>
      <w:bCs/>
      <w:color w:val="000000"/>
      <w:kern w:val="36"/>
      <w:sz w:val="33"/>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5102"/>
    <w:pPr>
      <w:tabs>
        <w:tab w:val="center" w:pos="4252"/>
        <w:tab w:val="right" w:pos="8504"/>
      </w:tabs>
      <w:snapToGrid w:val="0"/>
    </w:pPr>
  </w:style>
  <w:style w:type="character" w:customStyle="1" w:styleId="a4">
    <w:name w:val="ヘッダー (文字)"/>
    <w:basedOn w:val="a0"/>
    <w:link w:val="a3"/>
    <w:uiPriority w:val="99"/>
    <w:rsid w:val="003C5102"/>
  </w:style>
  <w:style w:type="paragraph" w:styleId="a5">
    <w:name w:val="footer"/>
    <w:basedOn w:val="a"/>
    <w:link w:val="a6"/>
    <w:uiPriority w:val="99"/>
    <w:unhideWhenUsed/>
    <w:rsid w:val="003C5102"/>
    <w:pPr>
      <w:tabs>
        <w:tab w:val="center" w:pos="4252"/>
        <w:tab w:val="right" w:pos="8504"/>
      </w:tabs>
      <w:snapToGrid w:val="0"/>
    </w:pPr>
  </w:style>
  <w:style w:type="character" w:customStyle="1" w:styleId="a6">
    <w:name w:val="フッター (文字)"/>
    <w:basedOn w:val="a0"/>
    <w:link w:val="a5"/>
    <w:uiPriority w:val="99"/>
    <w:rsid w:val="003C5102"/>
  </w:style>
  <w:style w:type="character" w:customStyle="1" w:styleId="10">
    <w:name w:val="見出し 1 (文字)"/>
    <w:basedOn w:val="a0"/>
    <w:link w:val="1"/>
    <w:uiPriority w:val="9"/>
    <w:rsid w:val="003C5102"/>
    <w:rPr>
      <w:rFonts w:ascii="ＭＳ Ｐゴシック" w:eastAsia="ＭＳ Ｐゴシック" w:hAnsi="ＭＳ Ｐゴシック" w:cs="ＭＳ Ｐゴシック"/>
      <w:b/>
      <w:bCs/>
      <w:color w:val="000000"/>
      <w:kern w:val="36"/>
      <w:sz w:val="33"/>
      <w:szCs w:val="33"/>
    </w:rPr>
  </w:style>
  <w:style w:type="character" w:styleId="a7">
    <w:name w:val="Emphasis"/>
    <w:basedOn w:val="a0"/>
    <w:uiPriority w:val="20"/>
    <w:qFormat/>
    <w:rsid w:val="003C5102"/>
    <w:rPr>
      <w:i/>
      <w:iCs/>
    </w:rPr>
  </w:style>
  <w:style w:type="paragraph" w:styleId="a8">
    <w:name w:val="Balloon Text"/>
    <w:basedOn w:val="a"/>
    <w:link w:val="a9"/>
    <w:uiPriority w:val="99"/>
    <w:semiHidden/>
    <w:unhideWhenUsed/>
    <w:rsid w:val="003C5102"/>
    <w:rPr>
      <w:rFonts w:ascii="ＭＳ 明朝" w:eastAsia="ＭＳ 明朝"/>
      <w:sz w:val="18"/>
      <w:szCs w:val="18"/>
    </w:rPr>
  </w:style>
  <w:style w:type="character" w:customStyle="1" w:styleId="a9">
    <w:name w:val="吹き出し (文字)"/>
    <w:basedOn w:val="a0"/>
    <w:link w:val="a8"/>
    <w:uiPriority w:val="99"/>
    <w:semiHidden/>
    <w:rsid w:val="003C5102"/>
    <w:rPr>
      <w:rFonts w:ascii="ＭＳ 明朝" w:eastAsia="ＭＳ 明朝"/>
      <w:sz w:val="18"/>
      <w:szCs w:val="18"/>
    </w:rPr>
  </w:style>
  <w:style w:type="character" w:styleId="aa">
    <w:name w:val="annotation reference"/>
    <w:basedOn w:val="a0"/>
    <w:uiPriority w:val="99"/>
    <w:semiHidden/>
    <w:unhideWhenUsed/>
    <w:rsid w:val="003C5102"/>
    <w:rPr>
      <w:sz w:val="18"/>
      <w:szCs w:val="18"/>
    </w:rPr>
  </w:style>
  <w:style w:type="paragraph" w:styleId="ab">
    <w:name w:val="annotation text"/>
    <w:basedOn w:val="a"/>
    <w:link w:val="ac"/>
    <w:uiPriority w:val="99"/>
    <w:unhideWhenUsed/>
    <w:rsid w:val="003C5102"/>
    <w:pPr>
      <w:jc w:val="left"/>
    </w:pPr>
  </w:style>
  <w:style w:type="character" w:customStyle="1" w:styleId="ac">
    <w:name w:val="コメント文字列 (文字)"/>
    <w:basedOn w:val="a0"/>
    <w:link w:val="ab"/>
    <w:uiPriority w:val="99"/>
    <w:rsid w:val="003C5102"/>
  </w:style>
  <w:style w:type="paragraph" w:styleId="ad">
    <w:name w:val="annotation subject"/>
    <w:basedOn w:val="ab"/>
    <w:next w:val="ab"/>
    <w:link w:val="ae"/>
    <w:uiPriority w:val="99"/>
    <w:semiHidden/>
    <w:unhideWhenUsed/>
    <w:rsid w:val="003C5102"/>
    <w:rPr>
      <w:b/>
      <w:bCs/>
    </w:rPr>
  </w:style>
  <w:style w:type="character" w:customStyle="1" w:styleId="ae">
    <w:name w:val="コメント内容 (文字)"/>
    <w:basedOn w:val="ac"/>
    <w:link w:val="ad"/>
    <w:uiPriority w:val="99"/>
    <w:semiHidden/>
    <w:rsid w:val="003C5102"/>
    <w:rPr>
      <w:b/>
      <w:bCs/>
    </w:rPr>
  </w:style>
  <w:style w:type="numbering" w:customStyle="1" w:styleId="11">
    <w:name w:val="リストなし1"/>
    <w:next w:val="a2"/>
    <w:uiPriority w:val="99"/>
    <w:semiHidden/>
    <w:unhideWhenUsed/>
    <w:rsid w:val="003C5102"/>
  </w:style>
  <w:style w:type="character" w:styleId="af">
    <w:name w:val="Hyperlink"/>
    <w:basedOn w:val="a0"/>
    <w:uiPriority w:val="99"/>
    <w:unhideWhenUsed/>
    <w:rsid w:val="003C5102"/>
    <w:rPr>
      <w:color w:val="0000FF"/>
      <w:u w:val="single"/>
    </w:rPr>
  </w:style>
  <w:style w:type="table" w:customStyle="1" w:styleId="12">
    <w:name w:val="表 (格子)1"/>
    <w:basedOn w:val="a1"/>
    <w:next w:val="af0"/>
    <w:uiPriority w:val="39"/>
    <w:rsid w:val="003C5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変更箇所1"/>
    <w:next w:val="af1"/>
    <w:hidden/>
    <w:uiPriority w:val="99"/>
    <w:semiHidden/>
    <w:rsid w:val="003C5102"/>
    <w:rPr>
      <w:rFonts w:ascii="Arial" w:hAnsi="Arial"/>
      <w:sz w:val="22"/>
    </w:rPr>
  </w:style>
  <w:style w:type="paragraph" w:customStyle="1" w:styleId="14">
    <w:name w:val="リスト段落1"/>
    <w:basedOn w:val="a"/>
    <w:next w:val="af2"/>
    <w:uiPriority w:val="34"/>
    <w:qFormat/>
    <w:rsid w:val="003C5102"/>
    <w:pPr>
      <w:ind w:leftChars="400" w:left="960"/>
    </w:pPr>
    <w:rPr>
      <w:rFonts w:ascii="Arial" w:hAnsi="Arial"/>
      <w:sz w:val="22"/>
    </w:rPr>
  </w:style>
  <w:style w:type="character" w:styleId="af3">
    <w:name w:val="page number"/>
    <w:basedOn w:val="a0"/>
    <w:uiPriority w:val="99"/>
    <w:semiHidden/>
    <w:unhideWhenUsed/>
    <w:rsid w:val="003C5102"/>
  </w:style>
  <w:style w:type="character" w:styleId="af4">
    <w:name w:val="line number"/>
    <w:basedOn w:val="a0"/>
    <w:uiPriority w:val="99"/>
    <w:semiHidden/>
    <w:unhideWhenUsed/>
    <w:rsid w:val="003C5102"/>
  </w:style>
  <w:style w:type="character" w:customStyle="1" w:styleId="hps">
    <w:name w:val="hps"/>
    <w:basedOn w:val="a0"/>
    <w:rsid w:val="003C5102"/>
  </w:style>
  <w:style w:type="character" w:customStyle="1" w:styleId="highlight2">
    <w:name w:val="highlight2"/>
    <w:basedOn w:val="a0"/>
    <w:rsid w:val="003C5102"/>
  </w:style>
  <w:style w:type="paragraph" w:styleId="HTML">
    <w:name w:val="HTML Preformatted"/>
    <w:basedOn w:val="a"/>
    <w:link w:val="HTML0"/>
    <w:uiPriority w:val="99"/>
    <w:unhideWhenUsed/>
    <w:rsid w:val="003C51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3C5102"/>
    <w:rPr>
      <w:rFonts w:ascii="ＭＳ ゴシック" w:eastAsia="ＭＳ ゴシック" w:hAnsi="ＭＳ ゴシック" w:cs="ＭＳ ゴシック"/>
      <w:kern w:val="0"/>
      <w:sz w:val="24"/>
      <w:szCs w:val="24"/>
    </w:rPr>
  </w:style>
  <w:style w:type="table" w:styleId="af0">
    <w:name w:val="Table Grid"/>
    <w:basedOn w:val="a1"/>
    <w:uiPriority w:val="39"/>
    <w:rsid w:val="003C5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3C5102"/>
  </w:style>
  <w:style w:type="paragraph" w:styleId="af2">
    <w:name w:val="List Paragraph"/>
    <w:basedOn w:val="a"/>
    <w:uiPriority w:val="34"/>
    <w:qFormat/>
    <w:rsid w:val="003C510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8FC47-2A05-48A7-86DF-22A5581D7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1654</Words>
  <Characters>9428</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拓生 吉田</dc:creator>
  <cp:keywords/>
  <dc:description/>
  <cp:lastModifiedBy>吉田 拓生</cp:lastModifiedBy>
  <cp:revision>15</cp:revision>
  <dcterms:created xsi:type="dcterms:W3CDTF">2019-09-14T07:37:00Z</dcterms:created>
  <dcterms:modified xsi:type="dcterms:W3CDTF">2019-12-27T00:12:00Z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http://www.zotero.org/styles/american-journal-of-respiratory-and-critical-care-medicine</vt:lpwstr>
  </property>
  <property fmtid="{D5CDD505-2E9C-101B-9397-08002B2CF9AE}" pid="4" name="Mendeley Unique User Id_1">
    <vt:lpwstr>db100f19-2b21-3fe6-bad3-596319bb221c</vt:lpwstr>
  </property>
  <property fmtid="{D5CDD505-2E9C-101B-9397-08002B2CF9AE}" pid="5" name="Mendeley Recent Style Id 0_1">
    <vt:lpwstr>http://www.zotero.org/styles/american-journal-of-respiratory-and-critical-care-medicine</vt:lpwstr>
  </property>
  <property fmtid="{D5CDD505-2E9C-101B-9397-08002B2CF9AE}" pid="6" name="Mendeley Recent Style Name 0_1">
    <vt:lpwstr>American Journal of Respiratory and Critical Care Medicine</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http://www.zotero.org/styles/intensive-care-medicine</vt:lpwstr>
  </property>
  <property fmtid="{D5CDD505-2E9C-101B-9397-08002B2CF9AE}" pid="18" name="Mendeley Recent Style Name 6_1">
    <vt:lpwstr>Intensive Care Medicine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